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260118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8BE73" wp14:editId="3A9F2475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260118">
        <w:tc>
          <w:tcPr>
            <w:tcW w:w="3887" w:type="dxa"/>
            <w:hideMark/>
          </w:tcPr>
          <w:p w:rsidR="00200F25" w:rsidRDefault="000520A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36"/>
                <w:sz w:val="16"/>
                <w:szCs w:val="16"/>
                <w:lang w:eastAsia="ru-RU"/>
              </w:rPr>
              <w:drawing>
                <wp:inline distT="0" distB="0" distL="0" distR="0" wp14:anchorId="73A26580" wp14:editId="381CE21A">
                  <wp:extent cx="1949284" cy="701004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9" cy="7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260118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A514A7" w:rsidRDefault="00F170F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6344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ПЕДАГОГИЧЕСКАЯ ПОДДЕРЖКА </w:t>
            </w:r>
          </w:p>
          <w:p w:rsidR="00BC241D" w:rsidRDefault="00634420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ДЕТЕЙ С НАРУШЕНИЯМИ ИНТЕЛЛЕКТА</w:t>
            </w:r>
            <w:r w:rsidR="004B0A1C"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BC241D" w:rsidRPr="00EB3CB4" w:rsidRDefault="00BC241D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3D0666" w:rsidRDefault="003D0666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5C2365" w:rsidRPr="003D0666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3D0666" w:rsidRPr="003D0666" w:rsidRDefault="003D0666" w:rsidP="003D06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666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1A05BB" w:rsidRPr="00535DCE" w:rsidRDefault="001A05BB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120 </w:t>
            </w:r>
            <w:r w:rsidR="00C301E9" w:rsidRPr="00535DCE">
              <w:rPr>
                <w:rFonts w:ascii="Arial" w:hAnsi="Arial" w:cs="Arial"/>
                <w:sz w:val="24"/>
                <w:szCs w:val="24"/>
              </w:rPr>
              <w:t>академических часов с выдачей УДОСТОВЕРЕНИЯ о повышении квалификации</w:t>
            </w:r>
            <w:r w:rsidR="00C30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</w:t>
            </w:r>
            <w:r w:rsidR="00C061BA">
              <w:rPr>
                <w:rFonts w:ascii="Arial" w:hAnsi="Arial" w:cs="Arial"/>
                <w:sz w:val="24"/>
                <w:szCs w:val="24"/>
              </w:rPr>
              <w:t>ной переподготовке.</w:t>
            </w:r>
          </w:p>
          <w:p w:rsidR="00200F25" w:rsidRPr="00EB3CB4" w:rsidRDefault="00200F25" w:rsidP="00EB3CB4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Cs/>
                <w:sz w:val="18"/>
                <w:szCs w:val="28"/>
                <w:shd w:val="clear" w:color="auto" w:fill="FFFFFF"/>
              </w:rPr>
            </w:pPr>
          </w:p>
        </w:tc>
      </w:tr>
    </w:tbl>
    <w:p w:rsidR="00260118" w:rsidRPr="00EB3CB4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A67F83" w:rsidRPr="00A67F83">
        <w:rPr>
          <w:rFonts w:ascii="Arial" w:eastAsia="Times New Roman" w:hAnsi="Arial" w:cs="Arial"/>
          <w:i/>
          <w:sz w:val="24"/>
          <w:szCs w:val="24"/>
          <w:lang w:eastAsia="ru-RU"/>
        </w:rPr>
        <w:t>Педагогическая поддержка детей с нарушениями интеллекта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требованиями</w:t>
      </w:r>
      <w:r w:rsidR="001A05B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260118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60118">
        <w:rPr>
          <w:rFonts w:ascii="Arial" w:hAnsi="Arial" w:cs="Arial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163024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>других нормативных правовых актов.</w:t>
      </w:r>
    </w:p>
    <w:p w:rsidR="00260118" w:rsidRDefault="00260118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24"/>
        </w:rPr>
      </w:pPr>
    </w:p>
    <w:p w:rsidR="00922154" w:rsidRDefault="00922154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24"/>
        </w:rPr>
      </w:pPr>
    </w:p>
    <w:p w:rsidR="000270E5" w:rsidRPr="00544FC7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42062C" w:rsidRDefault="0042062C" w:rsidP="0058371D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E95C97" w:rsidRPr="00387D6D" w:rsidRDefault="00A67F83" w:rsidP="00A67F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F83">
        <w:rPr>
          <w:rFonts w:ascii="Arial" w:eastAsia="Times New Roman" w:hAnsi="Arial" w:cs="Arial"/>
          <w:sz w:val="24"/>
          <w:szCs w:val="24"/>
          <w:lang w:eastAsia="ru-RU"/>
        </w:rPr>
        <w:t>поддержани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67F83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67F83">
        <w:rPr>
          <w:rFonts w:ascii="Arial" w:eastAsia="Times New Roman" w:hAnsi="Arial" w:cs="Arial"/>
          <w:sz w:val="24"/>
          <w:szCs w:val="24"/>
          <w:lang w:eastAsia="ru-RU"/>
        </w:rPr>
        <w:t xml:space="preserve"> уровня квалификации и профессионального образования лиц,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7F83">
        <w:rPr>
          <w:rFonts w:ascii="Arial" w:eastAsia="Times New Roman" w:hAnsi="Arial" w:cs="Arial"/>
          <w:sz w:val="24"/>
          <w:szCs w:val="24"/>
          <w:lang w:eastAsia="ru-RU"/>
        </w:rPr>
        <w:t>занятых в сфере обучения детей с нарушениями интеллекта</w:t>
      </w:r>
      <w:r w:rsidR="00387D6D" w:rsidRPr="00387D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62C" w:rsidRDefault="0042062C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3D0666" w:rsidRDefault="003D066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544FC7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lastRenderedPageBreak/>
        <w:t>ДЛЯ КОГО:</w:t>
      </w:r>
    </w:p>
    <w:p w:rsidR="00996D54" w:rsidRDefault="00B135CE" w:rsidP="00A67F8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5CE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A67F83" w:rsidRPr="00A67F83">
        <w:rPr>
          <w:rFonts w:ascii="Arial" w:eastAsia="Times New Roman" w:hAnsi="Arial" w:cs="Arial"/>
          <w:sz w:val="24"/>
          <w:szCs w:val="24"/>
          <w:lang w:eastAsia="ru-RU"/>
        </w:rPr>
        <w:t>преподавателей, учителей</w:t>
      </w:r>
      <w:r w:rsidR="00A67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F83" w:rsidRPr="00A67F83">
        <w:rPr>
          <w:rFonts w:ascii="Arial" w:eastAsia="Times New Roman" w:hAnsi="Arial" w:cs="Arial"/>
          <w:sz w:val="24"/>
          <w:szCs w:val="24"/>
          <w:lang w:eastAsia="ru-RU"/>
        </w:rPr>
        <w:t>и воспитателей, которые работают в сфере обучения детей с нарушениями интеллекта</w:t>
      </w:r>
      <w:r w:rsidR="00540C95" w:rsidRPr="00540C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5CE" w:rsidRDefault="00B135CE" w:rsidP="00B135CE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1A4726" w:rsidRPr="001A4726" w:rsidRDefault="001A4726" w:rsidP="001A472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A472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Федеральные нормативные правовые акты допускают прохождение психолого-педагогических курсов повышения квалификации (или </w:t>
      </w:r>
      <w:proofErr w:type="spellStart"/>
      <w:r w:rsidRPr="001A4726">
        <w:rPr>
          <w:rFonts w:ascii="Arial" w:eastAsia="Times New Roman" w:hAnsi="Arial" w:cs="Arial"/>
          <w:sz w:val="24"/>
          <w:szCs w:val="24"/>
          <w:lang w:eastAsia="ru-RU"/>
        </w:rPr>
        <w:t>профпереподготовки</w:t>
      </w:r>
      <w:proofErr w:type="spellEnd"/>
      <w:r w:rsidRPr="001A4726">
        <w:rPr>
          <w:rFonts w:ascii="Arial" w:eastAsia="Times New Roman" w:hAnsi="Arial" w:cs="Arial"/>
          <w:sz w:val="24"/>
          <w:szCs w:val="24"/>
          <w:lang w:eastAsia="ru-RU"/>
        </w:rPr>
        <w:t>) лицами, не имеющими ни вузовского педагогического либо психологического, ни специального (колледж, техникум, ПТУ, лицей) педагогического образования. Поэтому если Вы имеете на руках диплом инженера или даже бармена, но хотите начать работать в педагогической сфере уже в этом году, то у Вас есть прекрасная возможность пройти дистанционное обучение и по итогам успешной аттестации приобрести квалификацию педагога-психолога, которая даст Вам легальное правомочие на ведение профессиональной педагогической деятельности.</w:t>
      </w:r>
    </w:p>
    <w:p w:rsidR="001A4726" w:rsidRPr="0042062C" w:rsidRDefault="001A4726" w:rsidP="00B135CE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544FC7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B56825" w:rsidRPr="00EF4A30" w:rsidRDefault="00EC31F9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или</w:t>
      </w:r>
      <w:r w:rsidR="00170497" w:rsidRPr="00EF4A30">
        <w:rPr>
          <w:rFonts w:ascii="Arial" w:hAnsi="Arial" w:cs="Arial"/>
          <w:sz w:val="24"/>
          <w:szCs w:val="24"/>
        </w:rPr>
        <w:t xml:space="preserve"> Д</w:t>
      </w:r>
      <w:r w:rsidR="00170497" w:rsidRPr="00EF4A30">
        <w:rPr>
          <w:rFonts w:ascii="Arial" w:hAnsi="Arial" w:cs="Arial"/>
          <w:bCs/>
          <w:sz w:val="24"/>
          <w:szCs w:val="24"/>
        </w:rPr>
        <w:t>иплом о профессиональной перепод</w:t>
      </w:r>
      <w:r w:rsidR="00A66389">
        <w:rPr>
          <w:rFonts w:ascii="Arial" w:hAnsi="Arial" w:cs="Arial"/>
          <w:bCs/>
          <w:sz w:val="24"/>
          <w:szCs w:val="24"/>
        </w:rPr>
        <w:t>готовке государственного образца</w:t>
      </w:r>
      <w:r w:rsidR="00170497" w:rsidRPr="00EF4A30">
        <w:rPr>
          <w:rFonts w:ascii="Arial" w:hAnsi="Arial" w:cs="Arial"/>
          <w:sz w:val="24"/>
          <w:szCs w:val="24"/>
        </w:rPr>
        <w:t>;</w:t>
      </w:r>
    </w:p>
    <w:p w:rsidR="00C22030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право на </w:t>
      </w:r>
      <w:r w:rsidR="00C70398">
        <w:rPr>
          <w:rFonts w:ascii="Arial" w:hAnsi="Arial" w:cs="Arial"/>
          <w:sz w:val="24"/>
          <w:szCs w:val="24"/>
        </w:rPr>
        <w:t xml:space="preserve">письменные </w:t>
      </w:r>
      <w:r w:rsidRPr="00EF4A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EF4A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A853DF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EF4A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="00A853DF">
        <w:rPr>
          <w:rFonts w:ascii="Arial" w:hAnsi="Arial" w:cs="Arial"/>
          <w:sz w:val="24"/>
          <w:szCs w:val="24"/>
        </w:rPr>
        <w:t xml:space="preserve"> с получением ответа в течение двух суток.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544FC7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56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квалификации. </w:t>
      </w:r>
      <w:proofErr w:type="gramStart"/>
      <w:r w:rsidRPr="00A709A6">
        <w:rPr>
          <w:rFonts w:ascii="Arial" w:eastAsia="Times New Roman" w:hAnsi="Arial" w:cs="Arial"/>
          <w:sz w:val="24"/>
          <w:szCs w:val="24"/>
          <w:lang w:eastAsia="ru-RU"/>
        </w:rPr>
        <w:t>По результатам итоговой аттестации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3AD" w:rsidRPr="00D803A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действующими профессиональными стандартами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ED3" w:rsidRPr="00EB3CB4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EB3CB4" w:rsidRPr="00EB3CB4">
        <w:rPr>
          <w:rFonts w:ascii="Arial" w:eastAsia="Times New Roman" w:hAnsi="Arial" w:cs="Arial"/>
          <w:i/>
          <w:sz w:val="24"/>
          <w:szCs w:val="24"/>
          <w:lang w:eastAsia="ru-RU"/>
        </w:rPr>
        <w:t>Коррекционный педагог</w:t>
      </w:r>
      <w:r w:rsidR="00EB3CB4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EB3CB4" w:rsidRPr="00EB3CB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EB3CB4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EB3CB4" w:rsidRPr="00EB3CB4">
        <w:rPr>
          <w:rFonts w:ascii="Arial" w:eastAsia="Times New Roman" w:hAnsi="Arial" w:cs="Arial"/>
          <w:i/>
          <w:sz w:val="24"/>
          <w:szCs w:val="24"/>
          <w:lang w:eastAsia="ru-RU"/>
        </w:rPr>
        <w:t>Коррекционный педагог-психолог</w:t>
      </w:r>
      <w:r w:rsidR="00EB3CB4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EB3CB4" w:rsidRPr="00EB3CB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EB3CB4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EB3CB4" w:rsidRPr="00EB3CB4">
        <w:rPr>
          <w:rFonts w:ascii="Arial" w:eastAsia="Times New Roman" w:hAnsi="Arial" w:cs="Arial"/>
          <w:i/>
          <w:sz w:val="24"/>
          <w:szCs w:val="24"/>
          <w:lang w:eastAsia="ru-RU"/>
        </w:rPr>
        <w:t>Специалист по педагогической поддержке детей с нарушениями интеллекта</w:t>
      </w:r>
      <w:r w:rsidR="00564ED3" w:rsidRPr="00EB3CB4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564ED3" w:rsidRPr="00564ED3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="009F7DF9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(на выбор)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с правом 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>осуществлять профессиональную деятельность.</w:t>
      </w:r>
      <w:proofErr w:type="gramEnd"/>
    </w:p>
    <w:p w:rsidR="006135BA" w:rsidRPr="0013350C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544FC7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2D5DDE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2D5DDE" w:rsidRPr="00565916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</w:t>
            </w:r>
          </w:p>
        </w:tc>
      </w:tr>
      <w:tr w:rsidR="004315F4" w:rsidRPr="00087962" w:rsidTr="00956C59">
        <w:trPr>
          <w:trHeight w:val="518"/>
        </w:trPr>
        <w:tc>
          <w:tcPr>
            <w:tcW w:w="2235" w:type="dxa"/>
            <w:shd w:val="clear" w:color="auto" w:fill="auto"/>
          </w:tcPr>
          <w:p w:rsidR="004315F4" w:rsidRDefault="004315F4" w:rsidP="00956C59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Дистанционно</w:t>
            </w:r>
          </w:p>
        </w:tc>
        <w:tc>
          <w:tcPr>
            <w:tcW w:w="2551" w:type="dxa"/>
          </w:tcPr>
          <w:p w:rsidR="004315F4" w:rsidRPr="009730EF" w:rsidRDefault="004315F4" w:rsidP="00431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208" w:type="dxa"/>
          </w:tcPr>
          <w:p w:rsidR="004315F4" w:rsidRDefault="004315F4" w:rsidP="00956C59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4315F4" w:rsidRDefault="004315F4" w:rsidP="0095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Default="00893BB0">
            <w:bookmarkStart w:id="2" w:name="_GoBack"/>
            <w:bookmarkEnd w:id="2"/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</w:tbl>
    <w:p w:rsidR="00544FC7" w:rsidRDefault="00544FC7" w:rsidP="00544FC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544FC7" w:rsidRPr="00544FC7" w:rsidRDefault="00544F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@</w:t>
        </w:r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F77A6A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</w:t>
      </w:r>
      <w:r w:rsidR="00D05F14">
        <w:rPr>
          <w:rFonts w:ascii="Arial" w:hAnsi="Arial" w:cs="Arial"/>
          <w:sz w:val="24"/>
          <w:szCs w:val="24"/>
        </w:rPr>
        <w:t>) брака, если Вы меняли фамилию.</w:t>
      </w:r>
    </w:p>
    <w:sectPr w:rsidR="005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921"/>
    <w:multiLevelType w:val="hybridMultilevel"/>
    <w:tmpl w:val="848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22170"/>
    <w:multiLevelType w:val="hybridMultilevel"/>
    <w:tmpl w:val="1FB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782D70"/>
    <w:multiLevelType w:val="hybridMultilevel"/>
    <w:tmpl w:val="A60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27433"/>
    <w:rsid w:val="000450C7"/>
    <w:rsid w:val="000520AE"/>
    <w:rsid w:val="00060E97"/>
    <w:rsid w:val="00087962"/>
    <w:rsid w:val="0009265B"/>
    <w:rsid w:val="000A654C"/>
    <w:rsid w:val="000B38F6"/>
    <w:rsid w:val="000B5B2E"/>
    <w:rsid w:val="000D51A0"/>
    <w:rsid w:val="000E02F0"/>
    <w:rsid w:val="000E218C"/>
    <w:rsid w:val="000E34CA"/>
    <w:rsid w:val="001139AE"/>
    <w:rsid w:val="00116796"/>
    <w:rsid w:val="0012665B"/>
    <w:rsid w:val="0013350C"/>
    <w:rsid w:val="00136BFA"/>
    <w:rsid w:val="00163024"/>
    <w:rsid w:val="00170497"/>
    <w:rsid w:val="00176845"/>
    <w:rsid w:val="00182608"/>
    <w:rsid w:val="00197606"/>
    <w:rsid w:val="001A05BB"/>
    <w:rsid w:val="001A4726"/>
    <w:rsid w:val="001A58AF"/>
    <w:rsid w:val="001A6E9E"/>
    <w:rsid w:val="001D1A31"/>
    <w:rsid w:val="001D58E5"/>
    <w:rsid w:val="001D637F"/>
    <w:rsid w:val="001E0D33"/>
    <w:rsid w:val="001F3623"/>
    <w:rsid w:val="00200F25"/>
    <w:rsid w:val="00225447"/>
    <w:rsid w:val="002264EC"/>
    <w:rsid w:val="002430F0"/>
    <w:rsid w:val="00260118"/>
    <w:rsid w:val="002833E8"/>
    <w:rsid w:val="002B3187"/>
    <w:rsid w:val="002D0A6D"/>
    <w:rsid w:val="002D15C7"/>
    <w:rsid w:val="002D5DDE"/>
    <w:rsid w:val="00346B63"/>
    <w:rsid w:val="0035678F"/>
    <w:rsid w:val="00357B54"/>
    <w:rsid w:val="00387D6D"/>
    <w:rsid w:val="00395EF1"/>
    <w:rsid w:val="003D0666"/>
    <w:rsid w:val="003D5ABC"/>
    <w:rsid w:val="003E5FD4"/>
    <w:rsid w:val="004026A0"/>
    <w:rsid w:val="004148AD"/>
    <w:rsid w:val="0042062C"/>
    <w:rsid w:val="00426AFF"/>
    <w:rsid w:val="004315F4"/>
    <w:rsid w:val="0044186E"/>
    <w:rsid w:val="00463CB3"/>
    <w:rsid w:val="00465477"/>
    <w:rsid w:val="00492D6B"/>
    <w:rsid w:val="00494FD0"/>
    <w:rsid w:val="004A2FEC"/>
    <w:rsid w:val="004A6675"/>
    <w:rsid w:val="004B0403"/>
    <w:rsid w:val="004B0A1C"/>
    <w:rsid w:val="004F23AB"/>
    <w:rsid w:val="00500C2E"/>
    <w:rsid w:val="005030BE"/>
    <w:rsid w:val="00510635"/>
    <w:rsid w:val="00512EBA"/>
    <w:rsid w:val="005252F9"/>
    <w:rsid w:val="00535DCE"/>
    <w:rsid w:val="00540C95"/>
    <w:rsid w:val="00544FC7"/>
    <w:rsid w:val="00547783"/>
    <w:rsid w:val="00554FA1"/>
    <w:rsid w:val="00556FA2"/>
    <w:rsid w:val="00564ED3"/>
    <w:rsid w:val="00565916"/>
    <w:rsid w:val="0058371D"/>
    <w:rsid w:val="005A1D8B"/>
    <w:rsid w:val="005C17B2"/>
    <w:rsid w:val="005C2365"/>
    <w:rsid w:val="005D3792"/>
    <w:rsid w:val="005F29C1"/>
    <w:rsid w:val="006135BA"/>
    <w:rsid w:val="00630C53"/>
    <w:rsid w:val="00634420"/>
    <w:rsid w:val="006549CD"/>
    <w:rsid w:val="00671E98"/>
    <w:rsid w:val="00677E46"/>
    <w:rsid w:val="006803D0"/>
    <w:rsid w:val="006942B6"/>
    <w:rsid w:val="006A7AC8"/>
    <w:rsid w:val="006B3C7B"/>
    <w:rsid w:val="006E4C19"/>
    <w:rsid w:val="00711B02"/>
    <w:rsid w:val="0071305F"/>
    <w:rsid w:val="00741246"/>
    <w:rsid w:val="00746690"/>
    <w:rsid w:val="0076301A"/>
    <w:rsid w:val="007923C6"/>
    <w:rsid w:val="00797012"/>
    <w:rsid w:val="007C2C9F"/>
    <w:rsid w:val="007C5FA5"/>
    <w:rsid w:val="007E1391"/>
    <w:rsid w:val="007F7354"/>
    <w:rsid w:val="008014B3"/>
    <w:rsid w:val="00823577"/>
    <w:rsid w:val="00837B5B"/>
    <w:rsid w:val="00845A2A"/>
    <w:rsid w:val="00865AB1"/>
    <w:rsid w:val="00893BB0"/>
    <w:rsid w:val="008B590F"/>
    <w:rsid w:val="008C0649"/>
    <w:rsid w:val="008C08E9"/>
    <w:rsid w:val="00922154"/>
    <w:rsid w:val="00932A76"/>
    <w:rsid w:val="00957C70"/>
    <w:rsid w:val="009730EF"/>
    <w:rsid w:val="00974385"/>
    <w:rsid w:val="00996D54"/>
    <w:rsid w:val="009B59CE"/>
    <w:rsid w:val="009C34A0"/>
    <w:rsid w:val="009D7B3C"/>
    <w:rsid w:val="009F3AB6"/>
    <w:rsid w:val="009F7DF9"/>
    <w:rsid w:val="00A07396"/>
    <w:rsid w:val="00A23F36"/>
    <w:rsid w:val="00A514A7"/>
    <w:rsid w:val="00A66389"/>
    <w:rsid w:val="00A67F83"/>
    <w:rsid w:val="00A709A6"/>
    <w:rsid w:val="00A853DF"/>
    <w:rsid w:val="00A94A8C"/>
    <w:rsid w:val="00A94F39"/>
    <w:rsid w:val="00AA3130"/>
    <w:rsid w:val="00AA5B75"/>
    <w:rsid w:val="00AC60C1"/>
    <w:rsid w:val="00B065A9"/>
    <w:rsid w:val="00B135CE"/>
    <w:rsid w:val="00B322AE"/>
    <w:rsid w:val="00B56825"/>
    <w:rsid w:val="00B60B52"/>
    <w:rsid w:val="00B90DE4"/>
    <w:rsid w:val="00B971E5"/>
    <w:rsid w:val="00B977E5"/>
    <w:rsid w:val="00BA324E"/>
    <w:rsid w:val="00BC241D"/>
    <w:rsid w:val="00BC63FD"/>
    <w:rsid w:val="00C006C2"/>
    <w:rsid w:val="00C061BA"/>
    <w:rsid w:val="00C22030"/>
    <w:rsid w:val="00C301E9"/>
    <w:rsid w:val="00C55022"/>
    <w:rsid w:val="00C70398"/>
    <w:rsid w:val="00C761E0"/>
    <w:rsid w:val="00C916C1"/>
    <w:rsid w:val="00CA4A01"/>
    <w:rsid w:val="00CA4CDA"/>
    <w:rsid w:val="00CC45F0"/>
    <w:rsid w:val="00CC46FA"/>
    <w:rsid w:val="00CF48B4"/>
    <w:rsid w:val="00D01AAD"/>
    <w:rsid w:val="00D05F14"/>
    <w:rsid w:val="00D117F3"/>
    <w:rsid w:val="00D1389F"/>
    <w:rsid w:val="00D26D7E"/>
    <w:rsid w:val="00D71E20"/>
    <w:rsid w:val="00D803AD"/>
    <w:rsid w:val="00DB42EA"/>
    <w:rsid w:val="00DD51D8"/>
    <w:rsid w:val="00DD7C3A"/>
    <w:rsid w:val="00DE0D4B"/>
    <w:rsid w:val="00E032CF"/>
    <w:rsid w:val="00E260A9"/>
    <w:rsid w:val="00E34982"/>
    <w:rsid w:val="00E572CA"/>
    <w:rsid w:val="00E57A20"/>
    <w:rsid w:val="00E57A35"/>
    <w:rsid w:val="00E77F5C"/>
    <w:rsid w:val="00E95C97"/>
    <w:rsid w:val="00EA2E23"/>
    <w:rsid w:val="00EB3CB4"/>
    <w:rsid w:val="00EC31F9"/>
    <w:rsid w:val="00ED05FC"/>
    <w:rsid w:val="00EE47F4"/>
    <w:rsid w:val="00EF4A30"/>
    <w:rsid w:val="00F1472D"/>
    <w:rsid w:val="00F170FA"/>
    <w:rsid w:val="00F2120C"/>
    <w:rsid w:val="00F27570"/>
    <w:rsid w:val="00F32FC9"/>
    <w:rsid w:val="00F456BD"/>
    <w:rsid w:val="00F647E2"/>
    <w:rsid w:val="00F72DA6"/>
    <w:rsid w:val="00F77A6A"/>
    <w:rsid w:val="00F843E9"/>
    <w:rsid w:val="00F90EC1"/>
    <w:rsid w:val="00F96BCB"/>
    <w:rsid w:val="00F979CE"/>
    <w:rsid w:val="00FA6FD8"/>
    <w:rsid w:val="00FD2B74"/>
    <w:rsid w:val="00FD37E2"/>
    <w:rsid w:val="00FF1B3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14</cp:revision>
  <dcterms:created xsi:type="dcterms:W3CDTF">2017-12-07T07:17:00Z</dcterms:created>
  <dcterms:modified xsi:type="dcterms:W3CDTF">2017-12-07T12:22:00Z</dcterms:modified>
</cp:coreProperties>
</file>